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sz w:val="48"/>
          <w:szCs w:val="48"/>
        </w:rPr>
      </w:pPr>
      <w:bookmarkStart w:id="0" w:name="OLE_LINK1"/>
      <w:r>
        <w:rPr>
          <w:rFonts w:hint="eastAsia" w:ascii="黑体" w:hAnsi="Times New Roman" w:eastAsia="黑体" w:cs="Times New Roman"/>
          <w:b/>
          <w:sz w:val="48"/>
          <w:szCs w:val="48"/>
          <w:lang w:eastAsia="zh-CN"/>
        </w:rPr>
        <w:t>翁源县管道天然气管网系统及配套设施建设项目-翁城LNG气化站</w:t>
      </w: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hint="eastAsia" w:ascii="宋体" w:hAnsi="宋体" w:cs="Times New Roman"/>
          <w:b/>
          <w:color w:val="auto"/>
          <w:sz w:val="56"/>
          <w:szCs w:val="56"/>
          <w:highlight w:val="none"/>
        </w:rPr>
      </w:pPr>
      <w:r>
        <w:rPr>
          <w:rFonts w:hint="eastAsia" w:ascii="宋体" w:hAnsi="宋体" w:cs="Times New Roman"/>
          <w:b/>
          <w:color w:val="auto"/>
          <w:sz w:val="56"/>
          <w:szCs w:val="56"/>
          <w:highlight w:val="none"/>
          <w:lang w:val="en-US" w:eastAsia="zh-CN"/>
        </w:rPr>
        <w:t>空温式</w:t>
      </w:r>
      <w:r>
        <w:rPr>
          <w:rFonts w:hint="eastAsia" w:ascii="宋体" w:hAnsi="宋体" w:cs="Times New Roman"/>
          <w:b/>
          <w:color w:val="auto"/>
          <w:sz w:val="56"/>
          <w:szCs w:val="56"/>
          <w:highlight w:val="none"/>
        </w:rPr>
        <w:t>气化器</w:t>
      </w:r>
    </w:p>
    <w:p>
      <w:pPr>
        <w:jc w:val="center"/>
        <w:rPr>
          <w:rFonts w:hint="eastAsia" w:ascii="宋体" w:hAnsi="宋体" w:cs="Times New Roman"/>
          <w:b/>
          <w:color w:val="auto"/>
          <w:sz w:val="72"/>
          <w:szCs w:val="72"/>
          <w:highlight w:val="none"/>
        </w:rPr>
      </w:pPr>
      <w:r>
        <w:rPr>
          <w:rFonts w:hint="eastAsia" w:ascii="宋体" w:hAnsi="宋体" w:cs="Times New Roman"/>
          <w:b/>
          <w:color w:val="auto"/>
          <w:sz w:val="56"/>
          <w:szCs w:val="56"/>
          <w:highlight w:val="none"/>
        </w:rPr>
        <w:t>技术规格书</w:t>
      </w: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adjustRightInd w:val="0"/>
        <w:snapToGrid w:val="0"/>
        <w:rPr>
          <w:sz w:val="32"/>
          <w:szCs w:val="32"/>
        </w:rPr>
      </w:pPr>
    </w:p>
    <w:p>
      <w:pPr>
        <w:adjustRightInd w:val="0"/>
        <w:snapToGrid w:val="0"/>
        <w:rPr>
          <w:sz w:val="32"/>
          <w:szCs w:val="32"/>
        </w:rPr>
      </w:pPr>
    </w:p>
    <w:p>
      <w:pPr>
        <w:adjustRightInd w:val="0"/>
        <w:snapToGrid w:val="0"/>
        <w:rPr>
          <w:sz w:val="32"/>
          <w:szCs w:val="32"/>
        </w:rPr>
      </w:pPr>
    </w:p>
    <w:p>
      <w:pPr>
        <w:adjustRightInd w:val="0"/>
        <w:snapToGrid w:val="0"/>
        <w:rPr>
          <w:sz w:val="32"/>
          <w:szCs w:val="32"/>
        </w:rPr>
      </w:pPr>
    </w:p>
    <w:p>
      <w:pPr>
        <w:adjustRightInd w:val="0"/>
        <w:snapToGrid w:val="0"/>
        <w:rPr>
          <w:sz w:val="32"/>
          <w:szCs w:val="32"/>
        </w:rPr>
      </w:pPr>
    </w:p>
    <w:p>
      <w:pPr>
        <w:adjustRightInd w:val="0"/>
        <w:snapToGrid w:val="0"/>
        <w:rPr>
          <w:sz w:val="32"/>
          <w:szCs w:val="32"/>
        </w:rPr>
      </w:pPr>
    </w:p>
    <w:p>
      <w:pPr>
        <w:adjustRightInd w:val="0"/>
        <w:snapToGrid w:val="0"/>
        <w:rPr>
          <w:sz w:val="32"/>
          <w:szCs w:val="32"/>
        </w:rPr>
      </w:pPr>
    </w:p>
    <w:p>
      <w:pPr>
        <w:pStyle w:val="6"/>
      </w:pPr>
    </w:p>
    <w:p>
      <w:pPr>
        <w:pStyle w:val="6"/>
      </w:pPr>
    </w:p>
    <w:p>
      <w:pPr>
        <w:pStyle w:val="6"/>
      </w:pPr>
    </w:p>
    <w:p>
      <w:pPr>
        <w:adjustRightInd w:val="0"/>
        <w:snapToGrid w:val="0"/>
        <w:jc w:val="center"/>
        <w:rPr>
          <w:rFonts w:ascii="黑体" w:eastAsia="黑体"/>
          <w:b/>
          <w:color w:val="3366FF"/>
          <w:sz w:val="44"/>
          <w:szCs w:val="44"/>
          <w:vertAlign w:val="superscript"/>
        </w:rPr>
      </w:pPr>
    </w:p>
    <w:p>
      <w:pPr>
        <w:adjustRightInd w:val="0"/>
        <w:snapToGrid w:val="0"/>
        <w:rPr>
          <w:rFonts w:ascii="宋体" w:hAnsi="宋体"/>
          <w:color w:val="auto"/>
          <w:sz w:val="32"/>
          <w:szCs w:val="32"/>
          <w:highlight w:val="none"/>
        </w:rPr>
      </w:pPr>
      <w:r>
        <w:rPr>
          <w:rFonts w:ascii="宋体" w:hAnsi="宋体"/>
          <w:color w:val="auto"/>
          <w:position w:val="6"/>
          <w:sz w:val="32"/>
          <w:szCs w:val="32"/>
          <w:highlight w:val="none"/>
        </w:rPr>
        <w:pict>
          <v:shape id="_x0000_i1025" o:spt="75" type="#_x0000_t75" style="height:6.95pt;width:419.4pt;" filled="f" o:preferrelative="t" stroked="f" coordsize="21600,21600" o:hr="t" o:hrpct="0" o:hralign="center">
            <v:path/>
            <v:fill on="f" focussize="0,0"/>
            <v:stroke on="f" joinstyle="miter"/>
            <v:imagedata r:id="rId9" o:title="j0115875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jc w:val="center"/>
        <w:rPr>
          <w:rFonts w:ascii="宋体" w:hAnsi="宋体"/>
          <w:b/>
          <w:position w:val="6"/>
          <w:sz w:val="48"/>
          <w:szCs w:val="48"/>
        </w:rPr>
      </w:pPr>
      <w:r>
        <w:rPr>
          <w:rFonts w:ascii="Times New Roman" w:hAnsi="Times New Roman"/>
          <w:color w:val="auto"/>
        </w:rPr>
        <w:drawing>
          <wp:inline distT="0" distB="0" distL="114300" distR="114300">
            <wp:extent cx="457200" cy="505460"/>
            <wp:effectExtent l="0" t="0" r="0" b="8890"/>
            <wp:docPr id="1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0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48"/>
          <w:szCs w:val="48"/>
          <w:vertAlign w:val="superscript"/>
        </w:rPr>
        <w:t>中国市政工程西南设计研究总院有限公司</w:t>
      </w:r>
    </w:p>
    <w:p>
      <w:pPr>
        <w:adjustRightInd w:val="0"/>
        <w:snapToGrid w:val="0"/>
        <w:jc w:val="center"/>
        <w:rPr>
          <w:rFonts w:ascii="宋体" w:hAnsi="宋体"/>
          <w:position w:val="6"/>
          <w:sz w:val="32"/>
          <w:szCs w:val="32"/>
        </w:rPr>
      </w:pPr>
      <w:r>
        <w:rPr>
          <w:rFonts w:ascii="宋体" w:hAnsi="宋体"/>
          <w:position w:val="6"/>
          <w:sz w:val="32"/>
          <w:szCs w:val="32"/>
        </w:rPr>
        <w:pict>
          <v:shape id="_x0000_i1026" o:spt="75" type="#_x0000_t75" style="height:6.95pt;width:419.4pt;" filled="f" o:preferrelative="t" stroked="f" coordsize="21600,21600" o:hr="t" o:hrpct="0" o:hralign="center">
            <v:path/>
            <v:fill on="f" focussize="0,0"/>
            <v:stroke on="f" joinstyle="miter"/>
            <v:imagedata r:id="rId9" o:title="j0115875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jc w:val="center"/>
        <w:rPr>
          <w:rFonts w:ascii="宋体" w:hAnsi="宋体"/>
          <w:b/>
          <w:color w:val="auto"/>
          <w:sz w:val="44"/>
          <w:szCs w:val="44"/>
          <w:highlight w:val="none"/>
          <w:vertAlign w:val="superscript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1907" w:h="16840" w:orient="landscape"/>
          <w:pgMar w:top="1440" w:right="1797" w:bottom="1440" w:left="1797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宋体" w:hAnsi="宋体"/>
          <w:b/>
          <w:sz w:val="44"/>
          <w:szCs w:val="44"/>
          <w:vertAlign w:val="superscript"/>
        </w:rPr>
        <w:t>202</w:t>
      </w:r>
      <w:r>
        <w:rPr>
          <w:rFonts w:hint="eastAsia" w:ascii="宋体" w:hAnsi="宋体"/>
          <w:b/>
          <w:sz w:val="44"/>
          <w:szCs w:val="44"/>
          <w:vertAlign w:val="superscript"/>
          <w:lang w:val="en-US" w:eastAsia="zh-CN"/>
        </w:rPr>
        <w:t>5</w:t>
      </w:r>
      <w:r>
        <w:rPr>
          <w:rFonts w:hint="eastAsia" w:ascii="宋体" w:hAnsi="宋体"/>
          <w:b/>
          <w:sz w:val="44"/>
          <w:szCs w:val="44"/>
          <w:vertAlign w:val="superscript"/>
        </w:rPr>
        <w:t>年</w:t>
      </w:r>
      <w:r>
        <w:rPr>
          <w:rFonts w:hint="eastAsia" w:ascii="宋体" w:hAnsi="宋体"/>
          <w:b/>
          <w:sz w:val="44"/>
          <w:szCs w:val="44"/>
          <w:vertAlign w:val="superscript"/>
          <w:lang w:val="en-US" w:eastAsia="zh-CN"/>
        </w:rPr>
        <w:t>11</w:t>
      </w:r>
      <w:r>
        <w:rPr>
          <w:rFonts w:hint="eastAsia" w:ascii="宋体" w:hAnsi="宋体"/>
          <w:b/>
          <w:color w:val="auto"/>
          <w:sz w:val="44"/>
          <w:szCs w:val="44"/>
          <w:highlight w:val="none"/>
          <w:vertAlign w:val="superscript"/>
        </w:rPr>
        <w:t>月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（1）技术要求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1、气化器部件的材质应能满足LNG介质的各项要求：强度、韧性、传热系数。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2、气化器的结构设计应能保证在最大气化量及最极端环境的条件下，不产生温度应力和结构应力的破坏，应能承受0.8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kN/m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的风压，在带冰运行下</w:t>
      </w:r>
      <w:r>
        <w:rPr>
          <w:rFonts w:hint="eastAsia" w:ascii="宋体" w:hAnsi="宋体"/>
          <w:sz w:val="24"/>
          <w:szCs w:val="24"/>
          <w:lang w:val="en-US" w:eastAsia="zh-CN"/>
        </w:rPr>
        <w:t>满足抗震设防烈度6度</w:t>
      </w:r>
      <w:r>
        <w:rPr>
          <w:rFonts w:hint="eastAsia" w:ascii="宋体" w:hAnsi="宋体"/>
          <w:sz w:val="24"/>
          <w:szCs w:val="24"/>
        </w:rPr>
        <w:t>（提供详细的计算说</w:t>
      </w:r>
      <w:bookmarkStart w:id="1" w:name="_GoBack"/>
      <w:bookmarkEnd w:id="1"/>
      <w:r>
        <w:rPr>
          <w:rFonts w:hint="eastAsia" w:ascii="宋体" w:hAnsi="宋体"/>
          <w:sz w:val="24"/>
          <w:szCs w:val="24"/>
        </w:rPr>
        <w:t>明书）；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3、主气化器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空温式LNG气化器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在设计气化量下的连续工作时间大于8小时，并能保证在8小时持续工作时间内气化器出口温度与环境温度之差小于10℃（提供详细的计算说明书）；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EAG 加热器、卸车增压器、储罐增压器、BOG加热器在设计气化量下的连续工作时间不小于 10 小时，并能保证在 10 小时持续工作时间内 EAG 加热器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BOG加热器出口温度与环境温度之差小于 10℃（提供详细的计算说明书）；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4、提供气化器的流量计算结果、有效换热面积、尺寸、空载重量和运行重量。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5、设备制造完毕后，应以1.5倍设计压力进行水压试验，且需提供法兰及汇集位置的探伤报告。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（2）结构设计要求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1、设计采用成熟结构、保证设备强度的可靠性。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2、气化器安装有固定装置：固定装置将满足生产、运输、使用过程强度、稳定性需要，气化器送达后需提供框架拆除服务。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3.需要配置地脚螺栓和螺母。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4.配件：垫片选用不锈钢聚四氟乙烯缠绕法兰垫片，螺栓选用不锈钢螺栓（304），螺母的材质需为316。法兰选用304不锈钢材质。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5.主气化器顶部需要配置防雷带，具备直接接闪能力。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 所有管道均需去油处理，管腔脱脂按 JB/T6896《空气分离设备表面清洁度》的有关测定方法和评定规则进行，忌油零件的表面油脂残留率≤125mg/m</w:t>
      </w:r>
      <w:r>
        <w:rPr>
          <w:rFonts w:hint="eastAsia"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。产品合格后，用氮气吹扫管道内水分及杂质，然后封闭进出端口。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7.设备中铝和铝合金零件的焊接应采用钨极氩弧焊或熔化极氩弧焊，不得采用气焊或电弧焊。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 焊缝无损检测应按NB/T47013.5《承压设备无损检测 第5部分：渗透检测》的要求做100%渗透检测，Ⅰ级合格。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 试压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压力试验按GB 50235-2010中8.6的规定进行；其试验压力值，稳压时间及允许压降值应符合GB150.1~150.4《压力容器》之要求。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按GB 50235-2010中8.6的要求进行泄漏性试验，其试验压力值为设计压力，稳压时间及允许压降值应符合GB150.1~150.4《压力容器》之要求。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（3）主要材料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材料采用6063-T5 或3003（3A21），材料应附材质证明。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（4）数据表</w:t>
      </w:r>
    </w:p>
    <w:p>
      <w:pPr>
        <w:adjustRightInd w:val="0"/>
        <w:snapToGrid w:val="0"/>
        <w:spacing w:line="24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主气化器（</w:t>
      </w:r>
      <w:r>
        <w:rPr>
          <w:rFonts w:hint="eastAsia" w:ascii="宋体" w:hAnsi="宋体"/>
          <w:sz w:val="24"/>
          <w:szCs w:val="24"/>
          <w:lang w:val="en-US" w:eastAsia="zh-CN"/>
        </w:rPr>
        <w:t>空温式LNG气化器</w:t>
      </w:r>
      <w:r>
        <w:rPr>
          <w:rFonts w:hint="eastAsia" w:ascii="宋体" w:hAnsi="宋体"/>
          <w:sz w:val="24"/>
          <w:szCs w:val="24"/>
        </w:rPr>
        <w:t>）主要参数</w:t>
      </w:r>
    </w:p>
    <w:tbl>
      <w:tblPr>
        <w:tblStyle w:val="4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4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工作介质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LNG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流</w:t>
            </w:r>
            <w:r>
              <w:rPr>
                <w:rFonts w:hint="eastAsia" w:ascii="宋体" w:hAnsi="宋体"/>
                <w:sz w:val="24"/>
                <w:szCs w:val="24"/>
              </w:rPr>
              <w:tab/>
            </w:r>
            <w:r>
              <w:rPr>
                <w:rFonts w:hint="eastAsia" w:ascii="宋体" w:hAnsi="宋体"/>
                <w:sz w:val="24"/>
                <w:szCs w:val="24"/>
              </w:rPr>
              <w:t>量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5000Nm3/h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设计温度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-196℃~+70℃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介质温度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-162℃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设计压力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1.6MPa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使用压力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0.4~0.84MPa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出气温度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不低于当地环境温度10℃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满负荷运行时间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≮8小时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化霜时间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≤4小时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主体材质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换热管专用铝合金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设备形式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立式，支脚，室外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设计压降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0.03 MPa(表压)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进口口径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DN65，配套法兰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出口口径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DN150，配套法兰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抗震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VI 度，0.05g，带冰运行时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抗风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0.80kN/m2，带冰运行时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采购数量</w:t>
            </w: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台</w:t>
            </w: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>
      <w:pPr>
        <w:adjustRightInd w:val="0"/>
        <w:snapToGrid w:val="0"/>
        <w:spacing w:line="24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BOG 加热器主要参数</w:t>
      </w:r>
    </w:p>
    <w:tbl>
      <w:tblPr>
        <w:tblStyle w:val="4"/>
        <w:tblW w:w="7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100"/>
        <w:gridCol w:w="4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01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进口/出口介质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BOG/NG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02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流</w:t>
            </w:r>
            <w:r>
              <w:rPr>
                <w:rFonts w:hint="eastAsia" w:ascii="宋体" w:hAnsi="宋体"/>
                <w:sz w:val="24"/>
                <w:szCs w:val="24"/>
              </w:rPr>
              <w:tab/>
            </w:r>
            <w:r>
              <w:rPr>
                <w:rFonts w:hint="eastAsia" w:ascii="宋体" w:hAnsi="宋体"/>
                <w:sz w:val="24"/>
                <w:szCs w:val="24"/>
              </w:rPr>
              <w:t>量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  <w:szCs w:val="24"/>
              </w:rPr>
              <w:t>00Nm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03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设计温度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-196℃~+70℃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04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介质温度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≮-162℃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05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设计压力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1.6MPa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06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使用压力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0.4~0.84MPa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07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出气温度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不低于当地环境温度–10℃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满负荷运行时间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≮10小时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结构形式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铝合金制连接件，柔性补偿桥式连接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主体材质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换热管专用铝合金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设备形式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立式，支脚，室外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设计压降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0.03 MPa(表压)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进口口径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DN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出口口径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DN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抗震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VI 度，0.05g，带冰运行时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抗风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0.80kN/m2，带冰运行时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采购数量</w:t>
            </w:r>
          </w:p>
        </w:tc>
        <w:tc>
          <w:tcPr>
            <w:tcW w:w="4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1台</w:t>
            </w:r>
          </w:p>
        </w:tc>
      </w:tr>
    </w:tbl>
    <w:p>
      <w:pPr>
        <w:adjustRightInd w:val="0"/>
        <w:snapToGrid w:val="0"/>
        <w:spacing w:line="24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储罐增压器主要参数</w:t>
      </w:r>
    </w:p>
    <w:tbl>
      <w:tblPr>
        <w:tblStyle w:val="4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178"/>
        <w:gridCol w:w="4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01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进口/出口介质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LNG/NG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02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流</w:t>
            </w:r>
            <w:r>
              <w:rPr>
                <w:rFonts w:hint="eastAsia" w:ascii="宋体" w:hAnsi="宋体"/>
                <w:sz w:val="24"/>
                <w:szCs w:val="24"/>
              </w:rPr>
              <w:tab/>
            </w:r>
            <w:r>
              <w:rPr>
                <w:rFonts w:hint="eastAsia" w:ascii="宋体" w:hAnsi="宋体"/>
                <w:sz w:val="24"/>
                <w:szCs w:val="24"/>
              </w:rPr>
              <w:t>量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00Nm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03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设计温度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-196℃~+70℃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04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介质温度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≮-162℃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05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设计压力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1.6MPa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06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使用压力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0.4~0.84MPa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07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出气温度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不低于当地环境温度–10℃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满负荷运行时间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≮10小时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结构形式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铝合金制连接件，柔性补偿桥式连接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主体材质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换热管专用铝合金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设备形式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卧式，支脚，室外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设计压降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0.03 MPa(表压)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进口口径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DN40，配套法兰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出口口径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DN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0，配套法兰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抗震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VI 度，0.05g，带冰运行时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抗风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0.80kN/m2，带冰运行时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2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采购数量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台</w:t>
            </w:r>
          </w:p>
        </w:tc>
      </w:tr>
    </w:tbl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24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卸车增压器主要参数</w:t>
      </w:r>
    </w:p>
    <w:tbl>
      <w:tblPr>
        <w:tblStyle w:val="4"/>
        <w:tblW w:w="78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58"/>
        <w:gridCol w:w="4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01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进口/出口介质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LNG/NG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02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流</w:t>
            </w:r>
            <w:r>
              <w:rPr>
                <w:rFonts w:hint="eastAsia" w:ascii="宋体" w:hAnsi="宋体"/>
                <w:sz w:val="24"/>
                <w:szCs w:val="24"/>
              </w:rPr>
              <w:tab/>
            </w:r>
            <w:r>
              <w:rPr>
                <w:rFonts w:hint="eastAsia" w:ascii="宋体" w:hAnsi="宋体"/>
                <w:sz w:val="24"/>
                <w:szCs w:val="24"/>
              </w:rPr>
              <w:t>量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400Nm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03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设计温度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-196℃~+70℃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04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介质温度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≮-162℃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05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设计压力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1.6MPa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06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使用压力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0.4~0.84MPa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07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出气温度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不低于当地环境温度–10℃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满负荷运行时间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≮10小时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结构形式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铝合金制连接件，柔性补偿桥式连接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主体材质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换热管专用铝合金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设备形式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卧式，支脚，室外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设计压降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0.03 MPa(表压)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进口口径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DN40，配套法兰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出口口径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DN50，配套法兰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抗震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VI 度，0.05g，带冰运行时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抗风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0.80kN/m2，带冰运行时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采购数量</w:t>
            </w:r>
          </w:p>
        </w:tc>
        <w:tc>
          <w:tcPr>
            <w:tcW w:w="4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台</w:t>
            </w:r>
          </w:p>
        </w:tc>
      </w:tr>
    </w:tbl>
    <w:p>
      <w:pPr>
        <w:adjustRightInd w:val="0"/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</w:p>
    <w:p>
      <w:pPr>
        <w:adjustRightInd w:val="0"/>
        <w:snapToGrid w:val="0"/>
        <w:spacing w:line="24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EAG 加热器主要参数</w:t>
      </w:r>
    </w:p>
    <w:tbl>
      <w:tblPr>
        <w:tblStyle w:val="4"/>
        <w:tblW w:w="7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280"/>
        <w:gridCol w:w="4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01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进口/出口介质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低温天然气/NG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02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流</w:t>
            </w:r>
            <w:r>
              <w:rPr>
                <w:rFonts w:hint="eastAsia" w:ascii="宋体" w:hAnsi="宋体"/>
                <w:sz w:val="24"/>
                <w:szCs w:val="24"/>
              </w:rPr>
              <w:tab/>
            </w:r>
            <w:r>
              <w:rPr>
                <w:rFonts w:hint="eastAsia" w:ascii="宋体" w:hAnsi="宋体"/>
                <w:sz w:val="24"/>
                <w:szCs w:val="24"/>
              </w:rPr>
              <w:t>量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  <w:szCs w:val="24"/>
              </w:rPr>
              <w:t>00Nm</w:t>
            </w:r>
            <w:r>
              <w:rPr>
                <w:rFonts w:hint="eastAsia" w:ascii="宋体" w:hAnsi="宋体"/>
                <w:sz w:val="24"/>
                <w:szCs w:val="24"/>
                <w:vertAlign w:val="superscript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/h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03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设计温度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-196℃~+70℃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04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介质温度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≮-162℃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05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设计压力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1.6MPa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06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使用压力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0.4~0.84MPa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07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出气温度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不低于当地环境温度–10℃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满负荷运行时间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≮10小时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结构形式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铝合金制连接件，柔性补偿桥式连接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主体材质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换热管专用铝合金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设备形式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立式，支脚，室外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设计压降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0.03 MPa(表压)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进口口径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DN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0，配套法兰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出口口径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DN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0，配套法兰 PN16,符合 HG/T20592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抗震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VI 度，0.05g，带冰运行时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抗风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0.80kN/m2，带冰运行时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采购数量</w:t>
            </w:r>
          </w:p>
        </w:tc>
        <w:tc>
          <w:tcPr>
            <w:tcW w:w="4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360" w:lineRule="auto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1台</w:t>
            </w: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（5）设备使用环境条件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安装地点：户外(露天) 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周围空气温度：最热月平均温度</w:t>
      </w:r>
      <w:r>
        <w:rPr>
          <w:rFonts w:hint="eastAsia" w:ascii="宋体" w:hAnsi="宋体"/>
          <w:sz w:val="24"/>
          <w:szCs w:val="24"/>
          <w:lang w:val="en-US" w:eastAsia="zh-CN"/>
        </w:rPr>
        <w:t>27.4</w:t>
      </w:r>
      <w:r>
        <w:rPr>
          <w:rFonts w:hint="eastAsia" w:ascii="宋体" w:hAnsi="宋体"/>
          <w:sz w:val="24"/>
          <w:szCs w:val="24"/>
        </w:rPr>
        <w:t>℃；最冷月平均温度</w:t>
      </w:r>
      <w:r>
        <w:rPr>
          <w:rFonts w:ascii="宋体" w:hAnsi="宋体" w:eastAsia="宋体" w:cs="宋体"/>
          <w:sz w:val="24"/>
          <w:szCs w:val="24"/>
        </w:rPr>
        <w:t>9.3</w:t>
      </w:r>
      <w:r>
        <w:rPr>
          <w:rFonts w:hint="eastAsia" w:ascii="宋体" w:hAnsi="宋体"/>
          <w:sz w:val="24"/>
          <w:szCs w:val="24"/>
        </w:rPr>
        <w:t>℃。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抗震设防烈度为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度，设计基本地震加速度值为0.</w:t>
      </w:r>
      <w:r>
        <w:rPr>
          <w:rFonts w:hint="eastAsia" w:ascii="宋体" w:hAnsi="宋体"/>
          <w:sz w:val="24"/>
          <w:szCs w:val="24"/>
          <w:lang w:val="en-US" w:eastAsia="zh-CN"/>
        </w:rPr>
        <w:t>05</w:t>
      </w:r>
      <w:r>
        <w:rPr>
          <w:rFonts w:hint="eastAsia" w:ascii="宋体" w:hAnsi="宋体"/>
          <w:sz w:val="24"/>
          <w:szCs w:val="24"/>
        </w:rPr>
        <w:t>g。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年平均相对湿度：80%。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基本风压：0.8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kN/</w:t>
      </w:r>
      <w:r>
        <w:rPr>
          <w:rFonts w:hint="eastAsia" w:ascii="宋体" w:hAnsi="宋体" w:cs="宋体"/>
          <w:sz w:val="24"/>
          <w:szCs w:val="24"/>
        </w:rPr>
        <w:t>㎡</w:t>
      </w:r>
      <w:r>
        <w:rPr>
          <w:rFonts w:hint="eastAsia" w:ascii="宋体" w:hAnsi="宋体" w:cs="仿宋_GB2312"/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（6）执行的标准及规范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标准选用的版本应是正在执行的有效版本，设备供货商应提供所采用标准清单，并应保证其版本为截止到本技术规格书发布时的最新版本（包括修正版）。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参考标准及规范如下，凡未注明日期的引用文件，其最新版本适用于本技术文件，下同：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TSG 21《固定式压力容器安全技术监察规程》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TSG D0001《压力管道安全技术监察规程—工业管道》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GB50016《建筑设计防火规范》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GB55009《燃气工程项目规范》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GB50028《城镇燃气设计规范》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GB/T 20368《液化天然气（LNG）生产、储存和装运标准》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 20801.1~20801.6《压力管道规范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工业管道》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GB50316《工业金属管道设计规范》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GB50264《工业设备及管道绝热工程设计规范》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GB50235《工业金属管道工程施工规范》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GB50236《现场设备、工业管道焊接工程施工规范》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GB50540《石油天然气站内工艺管道工程施工规范》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GB50184《工业金属管道工程施工质量验收规范》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GB50683《现场设备、工业管道焊接工程施工质量验收规范》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GB50093《工业自动化仪表工程施工及验收规范》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GB150.1~150.4《压力容器》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GB18442.1~6《固定式真空绝热深冷压力容器》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GB/T151《热交换器》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GB/T7306.1~7306.2 《55°密封管螺纹》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GB4208《外壳防护等级（IP代码）》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GB3836.1~3836.9 《爆炸性环境》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GB/T 14976《流体输送用不锈钢无缝钢管》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 5310《高压锅炉用无缝钢管》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GB/T 8163《输送流体用无缝钢管》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GB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/T13401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《钢制对焊管件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 xml:space="preserve"> 技术规范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NB/T47013.1~47013.13</w:t>
      </w:r>
      <w:r>
        <w:rPr>
          <w:rFonts w:ascii="宋体" w:hAnsi="宋体"/>
          <w:color w:val="auto"/>
          <w:sz w:val="24"/>
          <w:szCs w:val="24"/>
          <w:highlight w:val="none"/>
        </w:rPr>
        <w:t>《承压设备无损检测》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NB/T47016《承压设备产品焊接试件的力学性能检测》；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JB/T 6898</w:t>
      </w:r>
      <w:r>
        <w:rPr>
          <w:rFonts w:ascii="宋体" w:hAnsi="宋体"/>
          <w:color w:val="auto"/>
          <w:sz w:val="24"/>
          <w:szCs w:val="24"/>
          <w:highlight w:val="none"/>
        </w:rPr>
        <w:t>《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低温液体贮运设备 使用安全规则</w:t>
      </w:r>
      <w:r>
        <w:rPr>
          <w:rFonts w:ascii="宋体" w:hAnsi="宋体"/>
          <w:color w:val="auto"/>
          <w:sz w:val="24"/>
          <w:szCs w:val="24"/>
          <w:highlight w:val="none"/>
        </w:rPr>
        <w:t>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NB/T47014</w:t>
      </w:r>
      <w:r>
        <w:rPr>
          <w:rFonts w:ascii="宋体" w:hAnsi="宋体"/>
          <w:color w:val="auto"/>
          <w:sz w:val="24"/>
          <w:szCs w:val="24"/>
          <w:highlight w:val="none"/>
        </w:rPr>
        <w:t>《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承压设备焊接工艺评定</w:t>
      </w:r>
      <w:r>
        <w:rPr>
          <w:rFonts w:ascii="宋体" w:hAnsi="宋体"/>
          <w:color w:val="auto"/>
          <w:sz w:val="24"/>
          <w:szCs w:val="24"/>
          <w:highlight w:val="none"/>
        </w:rPr>
        <w:t>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t>NB/T 47015《压力容器焊接规程》；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t>HG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/T</w:t>
      </w:r>
      <w:r>
        <w:rPr>
          <w:rFonts w:ascii="宋体" w:hAnsi="宋体"/>
          <w:color w:val="auto"/>
          <w:sz w:val="24"/>
          <w:szCs w:val="24"/>
          <w:highlight w:val="none"/>
        </w:rPr>
        <w:t>20585《钢制低温压力容器技术规定》；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SH3501《石油化工有毒、可燃介质钢制管道工程施工及验收规范》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SH/T3525《石油化工低温钢焊接规程》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SH3012《石油化工金属管道布置设计规范》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CJJ33《城镇燃气输配工程施工及验收规范》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HG/T 20592～20635《钢制管法兰、紧固件、垫片》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JB/T2549《铝制空气分离设备制造技术规范》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GB/T 6893《铝及铝合金拉(轧)制无缝管》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经业方和设计方同意后，也可以采用与本技术规格书所指定标准相当或更好的其它标准。在未指定标准的条款中应采用国际和国内公认的标准。</w:t>
      </w:r>
    </w:p>
    <w:bookmarkEnd w:id="0"/>
    <w:sectPr>
      <w:footerReference r:id="rId7" w:type="default"/>
      <w:pgSz w:w="11907" w:h="16840" w:orient="landscape"/>
      <w:pgMar w:top="1440" w:right="1797" w:bottom="1440" w:left="1797" w:header="851" w:footer="992" w:gutter="0"/>
      <w:pgNumType w:fmt="decimal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4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420"/>
    </w:pPr>
    <w:r>
      <w:rPr>
        <w:rFonts w:hint="eastAsia"/>
      </w:rPr>
      <w:t xml:space="preserve">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</w:pPr>
    <w:r>
      <w:rPr>
        <w:rFonts w:hint="eastAsia"/>
        <w:lang w:eastAsia="zh-CN"/>
      </w:rPr>
      <w:t>翁源县管道天然气门户站及配套设施建设项目</w:t>
    </w:r>
    <w:r>
      <w:rPr>
        <w:rFonts w:hint="eastAsia"/>
      </w:rPr>
      <w:t>LNG储罐采购招标文件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3113B0"/>
    <w:multiLevelType w:val="multilevel"/>
    <w:tmpl w:val="333113B0"/>
    <w:lvl w:ilvl="0" w:tentative="0">
      <w:start w:val="1"/>
      <w:numFmt w:val="bullet"/>
      <w:lvlText w:val=""/>
      <w:lvlJc w:val="left"/>
      <w:pPr>
        <w:tabs>
          <w:tab w:val="left" w:pos="980"/>
        </w:tabs>
        <w:ind w:left="9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400"/>
        </w:tabs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20"/>
        </w:tabs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40"/>
        </w:tabs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660"/>
        </w:tabs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80"/>
        </w:tabs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00"/>
        </w:tabs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20"/>
        </w:tabs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40"/>
        </w:tabs>
        <w:ind w:left="43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4NjkyZDZlOThiNzM2MTYxNTM2NmY4MzFhN2FlMzYifQ=="/>
  </w:docVars>
  <w:rsids>
    <w:rsidRoot w:val="00293443"/>
    <w:rsid w:val="00025CAC"/>
    <w:rsid w:val="000C0BC6"/>
    <w:rsid w:val="00174A8B"/>
    <w:rsid w:val="00293443"/>
    <w:rsid w:val="00416807"/>
    <w:rsid w:val="00770982"/>
    <w:rsid w:val="00865449"/>
    <w:rsid w:val="009C694B"/>
    <w:rsid w:val="009D56F4"/>
    <w:rsid w:val="00D07E38"/>
    <w:rsid w:val="00D700D7"/>
    <w:rsid w:val="00E105C7"/>
    <w:rsid w:val="03E5605C"/>
    <w:rsid w:val="347D4ACB"/>
    <w:rsid w:val="44A41338"/>
    <w:rsid w:val="5573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"/>
    <w:basedOn w:val="1"/>
    <w:qFormat/>
    <w:uiPriority w:val="0"/>
    <w:pPr>
      <w:adjustRightInd w:val="0"/>
      <w:snapToGrid w:val="0"/>
      <w:spacing w:line="360" w:lineRule="auto"/>
      <w:ind w:firstLine="200"/>
      <w:jc w:val="left"/>
    </w:pPr>
    <w:rPr>
      <w:rFonts w:ascii="宋体" w:hAnsi="宋体" w:cs="宋体"/>
      <w:color w:val="0000FF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698</Words>
  <Characters>3982</Characters>
  <Lines>33</Lines>
  <Paragraphs>9</Paragraphs>
  <TotalTime>1</TotalTime>
  <ScaleCrop>false</ScaleCrop>
  <LinksUpToDate>false</LinksUpToDate>
  <CharactersWithSpaces>4671</CharactersWithSpaces>
  <Application>WPS Office_11.8.0.16970_F1E327BC-269C-435d-A152-05C5408002CA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2018-06-20T06:47:00Z</dcterms:created>
  <dc:creator>微软用户</dc:creator>
  <cp:lastModifiedBy>wpw</cp:lastModifiedBy>
  <dcterms:modified xsi:type="dcterms:W3CDTF">2025-11-24T01:53:30Z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2052-11.8.0.16970</vt:lpwstr>
  </property>
  <property fmtid="{D5CDD505-2E9C-101B-9397-08002B2CF9AE}" pid="3" name="ICV">
    <vt:lpwstr>BC933CD2CC6440D791A40A10EB6EF178_12</vt:lpwstr>
  </property>
</Properties>
</file>